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tif" ContentType="image/tif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120"/>
        <w:rPr>
          <w:sz w:val="32"/>
          <w:szCs w:val="32"/>
        </w:rPr>
      </w:pPr>
      <w:r>
        <w:rPr>
          <w:sz w:val="32"/>
          <w:szCs w:val="32"/>
        </w:rPr>
      </w:r>
    </w:p>
    <w:p>
      <w:pPr>
        <w:pStyle w:val="Normal"/>
        <w:spacing w:lineRule="auto" w:line="252" w:before="0" w:after="120"/>
        <w:rPr>
          <w:sz w:val="32"/>
          <w:szCs w:val="32"/>
        </w:rPr>
      </w:pPr>
      <w:r>
        <w:rPr>
          <w:sz w:val="32"/>
          <w:szCs w:val="32"/>
        </w:rPr>
        <w:t>Bästa Totalförsvarsintresserade!</w:t>
      </w:r>
    </w:p>
    <w:p>
      <w:pPr>
        <w:pStyle w:val="Normal"/>
        <w:spacing w:lineRule="auto" w:line="252" w:before="0" w:after="120"/>
        <w:rPr/>
      </w:pPr>
      <w:r>
        <w:rPr/>
        <w:t>Reservofficersakademien är en oberoende ideell förening med bland annat följande verksamhetsområden:</w:t>
      </w:r>
    </w:p>
    <w:p>
      <w:pPr>
        <w:pStyle w:val="ListParagraph"/>
        <w:numPr>
          <w:ilvl w:val="0"/>
          <w:numId w:val="1"/>
        </w:numPr>
        <w:spacing w:lineRule="auto" w:line="252" w:before="0" w:after="120"/>
        <w:contextualSpacing/>
        <w:rPr/>
      </w:pPr>
      <w:r>
        <w:rPr>
          <w:b/>
          <w:bCs/>
        </w:rPr>
        <w:t xml:space="preserve">Studiecirklar </w:t>
      </w:r>
      <w:r>
        <w:rPr/>
        <w:t>med intressanta teman. Huvuddelen av cirklarna Uppdragstaktik och Arktis är genomförda. Cirkelmötena sker på distans med hjälp av Microsoft TEAMS vilket möjliggör stor geografisk bredd bland deltagarna, även från andra nordiska länder.</w:t>
      </w:r>
    </w:p>
    <w:p>
      <w:pPr>
        <w:pStyle w:val="ListParagraph"/>
        <w:numPr>
          <w:ilvl w:val="0"/>
          <w:numId w:val="1"/>
        </w:numPr>
        <w:spacing w:lineRule="auto" w:line="252" w:before="0" w:after="120"/>
        <w:contextualSpacing/>
        <w:rPr/>
      </w:pPr>
      <w:r>
        <w:rPr>
          <w:b/>
          <w:bCs/>
        </w:rPr>
        <w:t xml:space="preserve">Hemsidan </w:t>
      </w:r>
      <w:r>
        <w:rPr>
          <w:b w:val="false"/>
          <w:bCs w:val="false"/>
        </w:rPr>
        <w:t xml:space="preserve">med bland annat </w:t>
      </w:r>
      <w:r>
        <w:rPr>
          <w:b/>
          <w:bCs/>
        </w:rPr>
        <w:t xml:space="preserve">Läs &amp; Hörvärt </w:t>
      </w:r>
      <w:r>
        <w:rPr>
          <w:b w:val="false"/>
          <w:bCs w:val="false"/>
        </w:rPr>
        <w:t>med</w:t>
      </w:r>
      <w:r>
        <w:rPr>
          <w:b/>
          <w:bCs/>
        </w:rPr>
        <w:t xml:space="preserve"> </w:t>
      </w:r>
      <w:r>
        <w:rPr/>
        <w:t>viktiga nyheter och analyser från välrenommerade källor.</w:t>
      </w:r>
    </w:p>
    <w:p>
      <w:pPr>
        <w:pStyle w:val="ListParagraph"/>
        <w:numPr>
          <w:ilvl w:val="0"/>
          <w:numId w:val="1"/>
        </w:numPr>
        <w:spacing w:lineRule="auto" w:line="252" w:before="0" w:after="120"/>
        <w:contextualSpacing/>
        <w:rPr/>
      </w:pPr>
      <w:r>
        <w:rPr>
          <w:b/>
          <w:bCs/>
        </w:rPr>
        <w:t>Facebook-gruppen ”</w:t>
      </w:r>
      <w:r>
        <w:rPr>
          <w:b w:val="false"/>
          <w:bCs w:val="false"/>
        </w:rPr>
        <w:t>Reservofficersakademien”.</w:t>
      </w:r>
    </w:p>
    <w:p>
      <w:pPr>
        <w:pStyle w:val="ListParagraph"/>
        <w:numPr>
          <w:ilvl w:val="0"/>
          <w:numId w:val="1"/>
        </w:numPr>
        <w:spacing w:lineRule="auto" w:line="252" w:before="0" w:after="120"/>
        <w:contextualSpacing/>
        <w:rPr/>
      </w:pPr>
      <w:r>
        <w:rPr>
          <w:b/>
          <w:bCs/>
        </w:rPr>
        <w:t xml:space="preserve">Studieresor </w:t>
      </w:r>
      <w:r>
        <w:rPr>
          <w:b w:val="false"/>
          <w:bCs w:val="false"/>
        </w:rPr>
        <w:t>till säkerhetspolitiskt intressanta länder.</w:t>
      </w:r>
    </w:p>
    <w:p>
      <w:pPr>
        <w:pStyle w:val="Normal"/>
        <w:spacing w:lineRule="auto" w:line="252" w:before="0" w:after="120"/>
        <w:rPr/>
      </w:pPr>
      <w:r>
        <w:rPr/>
        <w:t xml:space="preserve">På </w:t>
      </w:r>
      <w:r>
        <w:rPr>
          <w:rFonts w:cs="Calibri"/>
          <w:lang w:eastAsia="sv-SE"/>
        </w:rPr>
        <w:t>vår</w:t>
      </w:r>
      <w:r>
        <w:rPr/>
        <w:t xml:space="preserve"> hemsida </w:t>
      </w:r>
      <w:hyperlink r:id="rId2">
        <w:r>
          <w:rPr>
            <w:rStyle w:val="InternetLink"/>
          </w:rPr>
          <w:t>www.roak.se</w:t>
        </w:r>
      </w:hyperlink>
      <w:r>
        <w:rPr/>
        <w:t xml:space="preserve"> finns ytterligare information. Där kan du också anmäla dig till de olika aktiviteterna.</w:t>
      </w:r>
    </w:p>
    <w:p>
      <w:pPr>
        <w:pStyle w:val="Normal"/>
        <w:spacing w:lineRule="auto" w:line="252" w:before="0" w:after="120"/>
        <w:rPr/>
      </w:pPr>
      <w:r>
        <w:rPr/>
        <w:t xml:space="preserve">Höstens studiecirkel </w:t>
      </w:r>
      <w:r>
        <w:rPr>
          <w:b/>
          <w:bCs/>
        </w:rPr>
        <w:t>Civilt försvar</w:t>
      </w:r>
      <w:r>
        <w:rPr/>
        <w:t xml:space="preserve"> är nu öppen för anmälningar.</w:t>
      </w:r>
    </w:p>
    <w:p>
      <w:pPr>
        <w:pStyle w:val="Normal"/>
        <w:spacing w:lineRule="auto" w:line="252" w:before="0" w:after="120"/>
        <w:rPr/>
      </w:pPr>
      <w:r>
        <w:rPr/>
        <w:t>Totalförsvarets två ben, det militära respektive det civila, är ju starkt och ömsesidigt beroende av varandra.</w:t>
      </w:r>
    </w:p>
    <w:p>
      <w:pPr>
        <w:pStyle w:val="Normal"/>
        <w:spacing w:lineRule="auto" w:line="252" w:before="0" w:after="120"/>
        <w:rPr/>
      </w:pPr>
      <w:r>
        <w:rPr/>
        <w:t xml:space="preserve">Det militära benet har den breda kretsen av försvarsintresserade ofta hunnit skaffa sig egen insikt om. </w:t>
      </w:r>
    </w:p>
    <w:p>
      <w:pPr>
        <w:pStyle w:val="Normal"/>
        <w:spacing w:lineRule="auto" w:line="252" w:before="0" w:after="120"/>
        <w:rPr/>
      </w:pPr>
      <w:r>
        <w:rPr/>
        <w:t>Kring det civila benet har det kanske varit svårare att få en heltäckande bild. Utmaningarna är många och trots att det under ett stort antal år gjorts ett betydande antal väl genomtänkta utredningar finns ingen klar bild.</w:t>
      </w:r>
    </w:p>
    <w:p>
      <w:pPr>
        <w:pStyle w:val="Normal"/>
        <w:spacing w:lineRule="auto" w:line="252" w:before="0" w:after="120"/>
        <w:rPr/>
      </w:pPr>
      <w:r>
        <w:rPr/>
        <w:t>Vår studiecirkel Civilt försvar startar upp före midsommar och genomför cirka sex kunskapskvällar från slutet av augusti till mitten av december i år.</w:t>
      </w:r>
    </w:p>
    <w:p>
      <w:pPr>
        <w:pStyle w:val="Normal"/>
        <w:spacing w:lineRule="auto" w:line="252" w:before="0" w:after="120"/>
        <w:rPr/>
      </w:pPr>
      <w:r>
        <w:rPr>
          <w:b/>
          <w:bCs/>
        </w:rPr>
        <w:t>Kunskapsledare</w:t>
      </w:r>
      <w:r>
        <w:rPr/>
        <w:t xml:space="preserve"> är </w:t>
      </w:r>
      <w:r>
        <w:rPr>
          <w:b/>
          <w:bCs/>
        </w:rPr>
        <w:t xml:space="preserve">Björn Körlof. </w:t>
      </w:r>
      <w:r>
        <w:rPr>
          <w:b w:val="false"/>
          <w:bCs w:val="false"/>
        </w:rPr>
        <w:t xml:space="preserve">Han har en </w:t>
      </w:r>
      <w:r>
        <w:rPr/>
        <w:t>ytterst solid kunskapsbas bland annat såsom tidigare statssekreterare vid Försvarsdepartementet och generaldirektör för Överstyrelsen för Psykologiskt Försvar samt är ledamot av Krigsvetenskapsakademien med mera. </w:t>
      </w:r>
    </w:p>
    <w:p>
      <w:pPr>
        <w:pStyle w:val="Normal"/>
        <w:spacing w:lineRule="auto" w:line="252" w:before="0" w:after="120"/>
        <w:rPr/>
      </w:pPr>
      <w:r>
        <w:rPr>
          <w:rFonts w:cs="Calibri"/>
          <w:lang w:eastAsia="sv-SE"/>
        </w:rPr>
        <w:t>Vid</w:t>
      </w:r>
      <w:r>
        <w:rPr/>
        <w:t xml:space="preserve"> varje kunskapskväll kommer olika ämnesspecialister att medverka.  Diskussioner sker gruppvis före varje kunskapskväll liksom instudering av bakgrundsmaterial bland annat från de många goda utredningarna.</w:t>
      </w:r>
    </w:p>
    <w:p>
      <w:pPr>
        <w:pStyle w:val="Normal"/>
        <w:spacing w:lineRule="auto" w:line="252" w:before="0" w:after="120"/>
        <w:rPr/>
      </w:pPr>
      <w:r>
        <w:rPr/>
        <w:t>För att vara en framgångsrik deltagare krävs inga omfattande förkunskaper, däremot ett inom ämnet tydligt nyfiket sinne. Alla inom gruppen ”reservister” är välkomna att söka.</w:t>
      </w:r>
    </w:p>
    <w:p>
      <w:pPr>
        <w:pStyle w:val="Normal"/>
        <w:spacing w:lineRule="auto" w:line="252" w:before="0" w:after="120"/>
        <w:rPr/>
      </w:pPr>
      <w:r>
        <w:rPr/>
        <w:t>Reservofficersakademien är trogen de vetenskapliga ledorden: Reliabilitet =”</w:t>
      </w:r>
      <w:r>
        <w:rPr>
          <w:i/>
          <w:iCs/>
        </w:rPr>
        <w:t xml:space="preserve">robusthet”, </w:t>
      </w:r>
      <w:r>
        <w:rPr/>
        <w:t xml:space="preserve">Relevans = </w:t>
      </w:r>
      <w:r>
        <w:rPr>
          <w:i/>
          <w:iCs/>
        </w:rPr>
        <w:t xml:space="preserve">till saken hörandes” </w:t>
      </w:r>
      <w:r>
        <w:rPr/>
        <w:t>samt Validitet =</w:t>
      </w:r>
      <w:r>
        <w:rPr>
          <w:i/>
          <w:iCs/>
        </w:rPr>
        <w:t xml:space="preserve">”mäter/gäller det vi avser…” </w:t>
      </w:r>
      <w:r>
        <w:rPr/>
        <w:t>.</w:t>
      </w:r>
      <w:r>
        <w:rPr>
          <w:i/>
          <w:iCs/>
        </w:rPr>
        <w:t xml:space="preserve"> </w:t>
      </w:r>
      <w:r>
        <w:rPr>
          <w:i w:val="false"/>
          <w:iCs w:val="false"/>
        </w:rPr>
        <w:t>Det låter kanske  tillk</w:t>
      </w:r>
      <w:r>
        <w:rPr/>
        <w:t>rånglat, men rör sig om intellektuell hederlighet i dessa tider av ”alternativa fakta” i Ukrainakrigets sorgliga skugga.</w:t>
      </w:r>
    </w:p>
    <w:p>
      <w:pPr>
        <w:pStyle w:val="Normal"/>
        <w:spacing w:lineRule="auto" w:line="252" w:before="0" w:after="120"/>
        <w:rPr/>
      </w:pPr>
      <w:r>
        <w:rPr/>
        <w:t>Deltagaravgiften är 300:-. SVEROF står generöst för avgiften för sina medlemmar så uppge i anmälan om du är medlem i SVEROF.</w:t>
      </w:r>
    </w:p>
    <w:p>
      <w:pPr>
        <w:pStyle w:val="Normal"/>
        <w:spacing w:lineRule="auto" w:line="252" w:before="0" w:after="120"/>
        <w:rPr/>
      </w:pPr>
      <w:r>
        <w:rPr/>
        <w:t xml:space="preserve">Du, som är intresserad, gå till hemsidan: </w:t>
      </w:r>
      <w:hyperlink r:id="rId3" w:tgtFrame="_blank">
        <w:r>
          <w:rPr>
            <w:rStyle w:val="InternetLink"/>
            <w:color w:val="0563C1"/>
          </w:rPr>
          <w:t>www.roak.se</w:t>
        </w:r>
      </w:hyperlink>
      <w:r>
        <w:rPr/>
        <w:t xml:space="preserve"> och anmäl dig.</w:t>
      </w:r>
    </w:p>
    <w:p>
      <w:pPr>
        <w:pStyle w:val="Normal"/>
        <w:spacing w:lineRule="auto" w:line="252" w:before="0" w:after="120"/>
        <w:rPr/>
      </w:pPr>
      <w:r>
        <w:rPr/>
        <w:t>Varmt välkommen med din intresseanmälan till Reservofficersakademiens studiecirkel om Civilt försvar!</w:t>
      </w:r>
    </w:p>
    <w:p>
      <w:pPr>
        <w:pStyle w:val="Normal"/>
        <w:spacing w:lineRule="auto" w:line="252" w:before="0" w:after="120"/>
        <w:rPr/>
      </w:pPr>
      <w:r>
        <w:rPr/>
      </w:r>
    </w:p>
    <w:p>
      <w:pPr>
        <w:pStyle w:val="Normal"/>
        <w:spacing w:lineRule="auto" w:line="252" w:before="0" w:after="120"/>
        <w:jc w:val="center"/>
        <w:rPr/>
      </w:pPr>
      <w:r>
        <w:rPr/>
        <w:t>***</w:t>
      </w:r>
    </w:p>
    <w:p>
      <w:pPr>
        <w:pStyle w:val="Normal"/>
        <w:spacing w:lineRule="auto" w:line="252" w:before="0" w:after="120"/>
        <w:rPr/>
      </w:pPr>
      <w:r>
        <w:rPr/>
        <w:t>Vi har en nära kontakt med Försvarshögskolan som för reservofficerare genomför ett antal utbildningar för Försvarsmaktens räkning, med den logiska länken Förbandschef – RO.</w:t>
      </w:r>
    </w:p>
    <w:p>
      <w:pPr>
        <w:pStyle w:val="NormalWeb"/>
        <w:numPr>
          <w:ilvl w:val="0"/>
          <w:numId w:val="2"/>
        </w:numPr>
        <w:spacing w:lineRule="auto" w:line="252" w:beforeAutospacing="0" w:before="0" w:afterAutospacing="0" w:after="0"/>
        <w:rPr/>
      </w:pPr>
      <w:r>
        <w:rPr/>
        <w:t>Taktisk Stabskurs – ”majorskursen”, 4 veckor höst + 3-4 veckor vår.</w:t>
      </w:r>
    </w:p>
    <w:p>
      <w:pPr>
        <w:pStyle w:val="NormalWeb"/>
        <w:numPr>
          <w:ilvl w:val="0"/>
          <w:numId w:val="2"/>
        </w:numPr>
        <w:spacing w:lineRule="auto" w:line="252" w:beforeAutospacing="0" w:before="0" w:afterAutospacing="0" w:after="120"/>
        <w:rPr/>
      </w:pPr>
      <w:r>
        <w:rPr/>
        <w:t xml:space="preserve">Strategisk RO-kurs: Civilt försvar, 2 veckor i december. </w:t>
      </w:r>
    </w:p>
    <w:p>
      <w:pPr>
        <w:pStyle w:val="NormalWeb"/>
        <w:spacing w:lineRule="auto" w:line="252" w:beforeAutospacing="0" w:before="0" w:afterAutospacing="0" w:after="120"/>
        <w:rPr/>
      </w:pPr>
      <w:r>
        <w:rPr/>
        <w:t>Antagningen till 2022 för B har stängt, men för 2023 sker ansökan senast månadsskiftet april/maj 2023.</w:t>
      </w:r>
    </w:p>
    <w:p>
      <w:pPr>
        <w:pStyle w:val="NormalWeb"/>
        <w:spacing w:lineRule="auto" w:line="252" w:beforeAutospacing="0" w:before="0" w:afterAutospacing="0" w:after="120"/>
        <w:rPr/>
      </w:pPr>
      <w:r>
        <w:rPr/>
        <w:t xml:space="preserve">Mera information om kurserna finner du på FHS hemsida </w:t>
      </w:r>
      <w:hyperlink r:id="rId4" w:tgtFrame="_blank">
        <w:r>
          <w:rPr>
            <w:rStyle w:val="InternetLink"/>
          </w:rPr>
          <w:t>www.fhs.se</w:t>
        </w:r>
      </w:hyperlink>
      <w:r>
        <w:rPr/>
        <w:t xml:space="preserve">. </w:t>
      </w:r>
    </w:p>
    <w:p>
      <w:pPr>
        <w:pStyle w:val="Normal"/>
        <w:spacing w:lineRule="auto" w:line="252" w:before="0" w:after="120"/>
        <w:rPr/>
      </w:pPr>
      <w:r>
        <w:rPr/>
      </w:r>
    </w:p>
    <w:p>
      <w:pPr>
        <w:pStyle w:val="Normal"/>
        <w:spacing w:lineRule="auto" w:line="252" w:before="0" w:after="120"/>
        <w:rPr/>
      </w:pPr>
      <w:r>
        <w:rPr/>
      </w:r>
    </w:p>
    <w:tbl>
      <w:tblPr>
        <w:tblStyle w:val="Tabellrutnt"/>
        <w:tblW w:w="9062" w:type="dxa"/>
        <w:jc w:val="left"/>
        <w:tblInd w:w="0" w:type="dxa"/>
        <w:tblCellMar>
          <w:top w:w="0" w:type="dxa"/>
          <w:left w:w="108" w:type="dxa"/>
          <w:bottom w:w="0" w:type="dxa"/>
          <w:right w:w="108" w:type="dxa"/>
        </w:tblCellMar>
        <w:tblLook w:val="04a0" w:noHBand="0" w:noVBand="1" w:firstColumn="1" w:lastRow="0" w:lastColumn="0" w:firstRow="1"/>
      </w:tblPr>
      <w:tblGrid>
        <w:gridCol w:w="2265"/>
        <w:gridCol w:w="2265"/>
        <w:gridCol w:w="2266"/>
        <w:gridCol w:w="2265"/>
      </w:tblGrid>
      <w:tr>
        <w:trPr/>
        <w:tc>
          <w:tcPr>
            <w:tcW w:w="2265"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Roland Halvorsen</w:t>
            </w:r>
          </w:p>
        </w:tc>
        <w:tc>
          <w:tcPr>
            <w:tcW w:w="2265"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Erling Johansson</w:t>
            </w:r>
          </w:p>
        </w:tc>
        <w:tc>
          <w:tcPr>
            <w:tcW w:w="2266"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Jan Sjölin</w:t>
            </w:r>
          </w:p>
        </w:tc>
        <w:tc>
          <w:tcPr>
            <w:tcW w:w="2265"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Rafael Vilén</w:t>
            </w:r>
          </w:p>
        </w:tc>
      </w:tr>
      <w:tr>
        <w:trPr/>
        <w:tc>
          <w:tcPr>
            <w:tcW w:w="2265" w:type="dxa"/>
            <w:tcBorders>
              <w:top w:val="nil"/>
              <w:left w:val="nil"/>
              <w:bottom w:val="nil"/>
              <w:right w:val="nil"/>
            </w:tcBorders>
          </w:tcPr>
          <w:p>
            <w:pPr>
              <w:pStyle w:val="Normal"/>
              <w:spacing w:lineRule="auto" w:line="252" w:before="0" w:after="120"/>
              <w:jc w:val="center"/>
              <w:rPr/>
            </w:pPr>
            <w:r>
              <w:rPr/>
            </w:r>
          </w:p>
        </w:tc>
        <w:tc>
          <w:tcPr>
            <w:tcW w:w="2265" w:type="dxa"/>
            <w:tcBorders>
              <w:top w:val="nil"/>
              <w:left w:val="nil"/>
              <w:bottom w:val="nil"/>
              <w:right w:val="nil"/>
            </w:tcBorders>
          </w:tcPr>
          <w:p>
            <w:pPr>
              <w:pStyle w:val="Normal"/>
              <w:spacing w:lineRule="auto" w:line="252" w:before="0" w:after="120"/>
              <w:jc w:val="center"/>
              <w:rPr/>
            </w:pPr>
            <w:r>
              <w:rPr/>
            </w:r>
          </w:p>
        </w:tc>
        <w:tc>
          <w:tcPr>
            <w:tcW w:w="2266" w:type="dxa"/>
            <w:tcBorders>
              <w:top w:val="nil"/>
              <w:left w:val="nil"/>
              <w:bottom w:val="nil"/>
              <w:right w:val="nil"/>
            </w:tcBorders>
          </w:tcPr>
          <w:p>
            <w:pPr>
              <w:pStyle w:val="Normal"/>
              <w:spacing w:lineRule="auto" w:line="252" w:before="0" w:after="120"/>
              <w:jc w:val="center"/>
              <w:rPr/>
            </w:pPr>
            <w:r>
              <w:rPr>
                <w:i/>
                <w:iCs/>
                <w:sz w:val="20"/>
                <w:szCs w:val="20"/>
              </w:rPr>
              <w:t>070 791 44 10</w:t>
            </w:r>
          </w:p>
        </w:tc>
        <w:tc>
          <w:tcPr>
            <w:tcW w:w="2265" w:type="dxa"/>
            <w:tcBorders>
              <w:top w:val="nil"/>
              <w:left w:val="nil"/>
              <w:bottom w:val="nil"/>
              <w:right w:val="nil"/>
            </w:tcBorders>
          </w:tcPr>
          <w:p>
            <w:pPr>
              <w:pStyle w:val="Normal"/>
              <w:spacing w:lineRule="auto" w:line="252" w:before="0" w:after="120"/>
              <w:jc w:val="center"/>
              <w:rPr/>
            </w:pPr>
            <w:r>
              <w:rPr/>
            </w:r>
          </w:p>
        </w:tc>
      </w:tr>
    </w:tbl>
    <w:p>
      <w:pPr>
        <w:pStyle w:val="Normal"/>
        <w:spacing w:lineRule="auto" w:line="252" w:before="0" w:after="120"/>
        <w:rPr/>
      </w:pPr>
      <w:r>
        <w:rPr/>
      </w:r>
    </w:p>
    <w:sectPr>
      <w:headerReference w:type="default" r:id="rId5"/>
      <w:footerReference w:type="default" r:id="rId6"/>
      <w:type w:val="nextPage"/>
      <w:pgSz w:w="11906" w:h="16838"/>
      <w:pgMar w:left="1418" w:right="1418" w:header="567"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Fairwater Scrip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rutnt"/>
      <w:tblW w:w="9070" w:type="dxa"/>
      <w:jc w:val="left"/>
      <w:tblInd w:w="0" w:type="dxa"/>
      <w:tblCellMar>
        <w:top w:w="0" w:type="dxa"/>
        <w:left w:w="108" w:type="dxa"/>
        <w:bottom w:w="0" w:type="dxa"/>
        <w:right w:w="108" w:type="dxa"/>
      </w:tblCellMar>
      <w:tblLook w:val="04a0" w:noHBand="0" w:noVBand="1" w:firstColumn="1" w:lastRow="0" w:lastColumn="0" w:firstRow="1"/>
    </w:tblPr>
    <w:tblGrid>
      <w:gridCol w:w="4535"/>
      <w:gridCol w:w="2312"/>
      <w:gridCol w:w="2223"/>
    </w:tblGrid>
    <w:tr>
      <w:trPr/>
      <w:tc>
        <w:tcPr>
          <w:tcW w:w="4535" w:type="dxa"/>
          <w:tcBorders>
            <w:top w:val="nil"/>
            <w:left w:val="nil"/>
            <w:bottom w:val="nil"/>
            <w:right w:val="nil"/>
          </w:tcBorders>
        </w:tcPr>
        <w:p>
          <w:pPr>
            <w:pStyle w:val="Header"/>
            <w:rPr/>
          </w:pPr>
          <w:r>
            <w:rPr/>
            <w:drawing>
              <wp:inline distT="0" distB="0" distL="0" distR="0">
                <wp:extent cx="2743200" cy="446405"/>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
                        <a:stretch>
                          <a:fillRect/>
                        </a:stretch>
                      </pic:blipFill>
                      <pic:spPr bwMode="auto">
                        <a:xfrm>
                          <a:off x="0" y="0"/>
                          <a:ext cx="2743200" cy="446405"/>
                        </a:xfrm>
                        <a:prstGeom prst="rect">
                          <a:avLst/>
                        </a:prstGeom>
                      </pic:spPr>
                    </pic:pic>
                  </a:graphicData>
                </a:graphic>
              </wp:inline>
            </w:drawing>
          </w:r>
        </w:p>
      </w:tc>
      <w:tc>
        <w:tcPr>
          <w:tcW w:w="2312" w:type="dxa"/>
          <w:tcBorders>
            <w:top w:val="nil"/>
            <w:left w:val="nil"/>
            <w:bottom w:val="nil"/>
            <w:right w:val="nil"/>
          </w:tcBorders>
        </w:tcPr>
        <w:p>
          <w:pPr>
            <w:pStyle w:val="Header"/>
            <w:jc w:val="right"/>
            <w:rPr/>
          </w:pPr>
          <w:r>
            <w:rPr>
              <w:sz w:val="18"/>
              <w:szCs w:val="18"/>
            </w:rPr>
            <w:t>Rev A-2 2022-05-22</w:t>
          </w:r>
        </w:p>
      </w:tc>
      <w:tc>
        <w:tcPr>
          <w:tcW w:w="2223" w:type="dxa"/>
          <w:tcBorders>
            <w:top w:val="nil"/>
            <w:left w:val="nil"/>
            <w:bottom w:val="nil"/>
            <w:right w:val="nil"/>
          </w:tcBorders>
        </w:tcPr>
        <w:p>
          <w:pPr>
            <w:pStyle w:val="Header"/>
            <w:jc w:val="right"/>
            <w:rPr/>
          </w:pPr>
          <w:r>
            <w:rPr/>
            <w:fldChar w:fldCharType="begin"/>
          </w:r>
          <w:r>
            <w:rPr/>
            <w:instrText> PAGE </w:instrText>
          </w:r>
          <w:r>
            <w:rPr/>
            <w:fldChar w:fldCharType="separate"/>
          </w:r>
          <w:r>
            <w:rPr/>
            <w:t>2</w:t>
          </w:r>
          <w:r>
            <w:rPr/>
            <w:fldChar w:fldCharType="end"/>
          </w:r>
          <w:r>
            <w:rPr/>
            <w:t xml:space="preserve"> </w:t>
          </w:r>
          <w:r>
            <w:rPr/>
            <w:t>(</w:t>
          </w:r>
          <w:r>
            <w:rPr/>
            <w:fldChar w:fldCharType="begin"/>
          </w:r>
          <w:r>
            <w:rPr/>
            <w:instrText> NUMPAGES </w:instrText>
          </w:r>
          <w:r>
            <w:rPr/>
            <w:fldChar w:fldCharType="separate"/>
          </w:r>
          <w:r>
            <w:rPr/>
            <w:t>2</w:t>
          </w:r>
          <w:r>
            <w:rPr/>
            <w:fldChar w:fldCharType="end"/>
          </w:r>
          <w:r>
            <w:rPr/>
            <w:t>)</w:t>
          </w:r>
        </w:p>
      </w:tc>
    </w:tr>
  </w:tbl>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6a6"/>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sv-SE" w:eastAsia="sv-SE"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836a6"/>
    <w:rPr>
      <w:color w:val="0000FF"/>
      <w:u w:val="single"/>
    </w:rPr>
  </w:style>
  <w:style w:type="character" w:styleId="UnresolvedMention">
    <w:name w:val="Unresolved Mention"/>
    <w:basedOn w:val="DefaultParagraphFont"/>
    <w:uiPriority w:val="99"/>
    <w:semiHidden/>
    <w:unhideWhenUsed/>
    <w:qFormat/>
    <w:rsid w:val="00a01780"/>
    <w:rPr>
      <w:color w:val="605E5C"/>
      <w:shd w:fill="E1DFDD" w:val="clear"/>
    </w:rPr>
  </w:style>
  <w:style w:type="character" w:styleId="SidhuvudChar" w:customStyle="1">
    <w:name w:val="Sidhuvud Char"/>
    <w:basedOn w:val="DefaultParagraphFont"/>
    <w:link w:val="Sidhuvud"/>
    <w:uiPriority w:val="99"/>
    <w:qFormat/>
    <w:rsid w:val="00081fcd"/>
    <w:rPr>
      <w:rFonts w:ascii="Calibri" w:hAnsi="Calibri" w:cs="Calibri"/>
      <w:lang w:eastAsia="sv-SE"/>
    </w:rPr>
  </w:style>
  <w:style w:type="character" w:styleId="SidfotChar" w:customStyle="1">
    <w:name w:val="Sidfot Char"/>
    <w:basedOn w:val="DefaultParagraphFont"/>
    <w:link w:val="Sidfot"/>
    <w:uiPriority w:val="99"/>
    <w:qFormat/>
    <w:rsid w:val="00081fcd"/>
    <w:rPr>
      <w:rFonts w:ascii="Calibri" w:hAnsi="Calibri" w:cs="Calibri"/>
      <w:lang w:eastAsia="sv-S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836a6"/>
    <w:pPr>
      <w:spacing w:beforeAutospacing="1" w:afterAutospacing="1"/>
    </w:pPr>
    <w:rPr/>
  </w:style>
  <w:style w:type="paragraph" w:styleId="ListParagraph">
    <w:name w:val="List Paragraph"/>
    <w:basedOn w:val="Normal"/>
    <w:uiPriority w:val="34"/>
    <w:qFormat/>
    <w:rsid w:val="000836a6"/>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SidhuvudChar"/>
    <w:uiPriority w:val="99"/>
    <w:unhideWhenUsed/>
    <w:rsid w:val="00081fcd"/>
    <w:pPr>
      <w:tabs>
        <w:tab w:val="clear" w:pos="1304"/>
        <w:tab w:val="center" w:pos="4536" w:leader="none"/>
        <w:tab w:val="right" w:pos="9072" w:leader="none"/>
      </w:tabs>
    </w:pPr>
    <w:rPr/>
  </w:style>
  <w:style w:type="paragraph" w:styleId="Footer">
    <w:name w:val="Footer"/>
    <w:basedOn w:val="Normal"/>
    <w:link w:val="SidfotChar"/>
    <w:uiPriority w:val="99"/>
    <w:unhideWhenUsed/>
    <w:rsid w:val="00081fcd"/>
    <w:pPr>
      <w:tabs>
        <w:tab w:val="clear" w:pos="1304"/>
        <w:tab w:val="center" w:pos="4536" w:leader="none"/>
        <w:tab w:val="right" w:pos="9072"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39"/>
    <w:rsid w:val="003529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ak.se/" TargetMode="External"/><Relationship Id="rId3" Type="http://schemas.openxmlformats.org/officeDocument/2006/relationships/hyperlink" Target="http://www.roak.se/" TargetMode="External"/><Relationship Id="rId4" Type="http://schemas.openxmlformats.org/officeDocument/2006/relationships/hyperlink" Target="http://www.fhs.s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LibreOffice/6.4.7.2$Linux_X86_64 LibreOffice_project/40$Build-2</Application>
  <Pages>2</Pages>
  <Words>441</Words>
  <Characters>2736</Characters>
  <CharactersWithSpaces>3147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2022-05-17T08:18:00Z</dcterms:created>
  <dc:creator>Göran Lönnqvist</dc:creator>
  <dc:description/>
  <dc:language>sv-SE</dc:language>
  <cp:lastModifiedBy/>
  <dcterms:modified xsi:type="dcterms:W3CDTF">2022-05-22T10:56:53Z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